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48" w:rsidRDefault="00157848" w:rsidP="00157848">
      <w:pPr>
        <w:pStyle w:val="1"/>
        <w:pBdr>
          <w:left w:val="single" w:sz="24" w:space="15" w:color="FF0000"/>
        </w:pBdr>
        <w:shd w:val="clear" w:color="auto" w:fill="FFFFFF"/>
        <w:spacing w:before="0" w:after="0" w:line="720" w:lineRule="atLeast"/>
        <w:rPr>
          <w:rFonts w:ascii="Arial" w:hAnsi="Arial" w:cs="Arial"/>
          <w:color w:val="000000"/>
          <w:sz w:val="36"/>
          <w:szCs w:val="36"/>
        </w:rPr>
      </w:pPr>
      <w:bookmarkStart w:id="0" w:name="body"/>
      <w:r>
        <w:rPr>
          <w:rFonts w:ascii="Arial" w:hAnsi="Arial" w:cs="Arial"/>
          <w:color w:val="000000"/>
          <w:sz w:val="36"/>
          <w:szCs w:val="36"/>
        </w:rPr>
        <w:t xml:space="preserve">Simultaneous </w:t>
      </w:r>
      <w:proofErr w:type="spellStart"/>
      <w:r>
        <w:rPr>
          <w:rFonts w:ascii="Arial" w:hAnsi="Arial" w:cs="Arial"/>
          <w:color w:val="000000"/>
          <w:sz w:val="36"/>
          <w:szCs w:val="36"/>
        </w:rPr>
        <w:t>Thermogravimetric</w:t>
      </w:r>
      <w:proofErr w:type="spellEnd"/>
      <w:r>
        <w:rPr>
          <w:rFonts w:ascii="Arial" w:hAnsi="Arial" w:cs="Arial"/>
          <w:color w:val="000000"/>
          <w:sz w:val="36"/>
          <w:szCs w:val="36"/>
        </w:rPr>
        <w:t xml:space="preserve"> Analyzer STA7000 Series</w:t>
      </w:r>
      <w:bookmarkEnd w:id="0"/>
    </w:p>
    <w:p w:rsidR="00157848" w:rsidRDefault="00157848" w:rsidP="00157848">
      <w:pPr>
        <w:pStyle w:val="z-"/>
        <w:rPr>
          <w:rFonts w:hint="eastAsia"/>
        </w:rPr>
      </w:pPr>
      <w:r>
        <w:rPr>
          <w:rFonts w:hint="eastAsia"/>
        </w:rPr>
        <w:t>窗体顶端</w:t>
      </w:r>
    </w:p>
    <w:p w:rsidR="00157848" w:rsidRDefault="00157848" w:rsidP="00157848">
      <w:pPr>
        <w:pStyle w:val="z-1"/>
        <w:rPr>
          <w:rFonts w:hint="eastAsia"/>
        </w:rPr>
      </w:pPr>
      <w:r>
        <w:rPr>
          <w:rFonts w:hint="eastAsia"/>
        </w:rPr>
        <w:t>窗体底端</w:t>
      </w:r>
    </w:p>
    <w:p w:rsidR="00157848" w:rsidRDefault="00157848" w:rsidP="00157848">
      <w:pPr>
        <w:widowControl/>
        <w:numPr>
          <w:ilvl w:val="0"/>
          <w:numId w:val="2"/>
        </w:numPr>
        <w:shd w:val="clear" w:color="auto" w:fill="F2F2F2"/>
        <w:spacing w:line="384" w:lineRule="atLeast"/>
        <w:ind w:left="0"/>
        <w:jc w:val="left"/>
        <w:rPr>
          <w:rFonts w:ascii="Arial" w:hAnsi="Arial" w:cs="Arial"/>
          <w:color w:val="333333"/>
          <w:sz w:val="24"/>
          <w:szCs w:val="24"/>
        </w:rPr>
      </w:pPr>
      <w:hyperlink r:id="rId5" w:history="1">
        <w:r>
          <w:rPr>
            <w:rStyle w:val="a3"/>
            <w:rFonts w:ascii="Arial" w:hAnsi="Arial" w:cs="Arial"/>
            <w:color w:val="333333"/>
            <w:sz w:val="20"/>
            <w:szCs w:val="20"/>
          </w:rPr>
          <w:t>Request Info</w:t>
        </w:r>
      </w:hyperlink>
    </w:p>
    <w:p w:rsidR="00157848" w:rsidRDefault="00157848" w:rsidP="00157848">
      <w:pPr>
        <w:widowControl/>
        <w:numPr>
          <w:ilvl w:val="0"/>
          <w:numId w:val="2"/>
        </w:numPr>
        <w:shd w:val="clear" w:color="auto" w:fill="F2F2F2"/>
        <w:spacing w:line="384" w:lineRule="atLeast"/>
        <w:ind w:left="0"/>
        <w:jc w:val="left"/>
        <w:rPr>
          <w:rFonts w:ascii="Arial" w:hAnsi="Arial" w:cs="Arial"/>
          <w:color w:val="333333"/>
        </w:rPr>
      </w:pPr>
      <w:hyperlink r:id="rId6" w:history="1">
        <w:r>
          <w:rPr>
            <w:rStyle w:val="a3"/>
            <w:rFonts w:ascii="Arial" w:hAnsi="Arial" w:cs="Arial"/>
            <w:color w:val="333333"/>
            <w:sz w:val="20"/>
            <w:szCs w:val="20"/>
          </w:rPr>
          <w:t>Print</w:t>
        </w:r>
      </w:hyperlink>
    </w:p>
    <w:p w:rsidR="00157848" w:rsidRDefault="00157848" w:rsidP="00157848">
      <w:pPr>
        <w:pStyle w:val="imgonlystyle"/>
        <w:shd w:val="clear" w:color="auto" w:fill="FFFFFF"/>
        <w:spacing w:before="0" w:beforeAutospacing="0" w:after="150" w:afterAutospacing="0" w:line="319" w:lineRule="atLeast"/>
        <w:rPr>
          <w:rFonts w:ascii="Arial" w:hAnsi="Arial" w:cs="Arial"/>
          <w:color w:val="333333"/>
          <w:sz w:val="20"/>
          <w:szCs w:val="20"/>
        </w:rPr>
      </w:pPr>
      <w:r>
        <w:rPr>
          <w:rFonts w:ascii="Arial" w:hAnsi="Arial" w:cs="Arial"/>
          <w:noProof/>
          <w:color w:val="333333"/>
          <w:sz w:val="20"/>
          <w:szCs w:val="20"/>
        </w:rPr>
        <w:drawing>
          <wp:inline distT="0" distB="0" distL="0" distR="0">
            <wp:extent cx="3364230" cy="2380615"/>
            <wp:effectExtent l="0" t="0" r="7620" b="635"/>
            <wp:docPr id="7" name="图片 7" descr="Simultaneous Thermogravimetric Analyzer STA7000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ultaneous Thermogravimetric Analyzer STA7000 Se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4230" cy="2380615"/>
                    </a:xfrm>
                    <a:prstGeom prst="rect">
                      <a:avLst/>
                    </a:prstGeom>
                    <a:noFill/>
                    <a:ln>
                      <a:noFill/>
                    </a:ln>
                  </pic:spPr>
                </pic:pic>
              </a:graphicData>
            </a:graphic>
          </wp:inline>
        </w:drawing>
      </w:r>
    </w:p>
    <w:p w:rsidR="00157848" w:rsidRDefault="00157848" w:rsidP="00157848">
      <w:pPr>
        <w:pStyle w:val="textstyle1"/>
        <w:shd w:val="clear" w:color="auto" w:fill="FFFFFF"/>
        <w:spacing w:before="0" w:beforeAutospacing="0" w:after="225" w:afterAutospacing="0" w:line="302" w:lineRule="atLeast"/>
        <w:rPr>
          <w:rFonts w:ascii="Arial" w:hAnsi="Arial" w:cs="Arial"/>
          <w:color w:val="333333"/>
          <w:sz w:val="22"/>
          <w:szCs w:val="22"/>
        </w:rPr>
      </w:pPr>
      <w:r>
        <w:rPr>
          <w:rFonts w:ascii="Arial" w:hAnsi="Arial" w:cs="Arial"/>
          <w:color w:val="333333"/>
          <w:sz w:val="22"/>
          <w:szCs w:val="22"/>
        </w:rPr>
        <w:t xml:space="preserve">The STA7000 Series Simultaneous </w:t>
      </w:r>
      <w:proofErr w:type="spellStart"/>
      <w:r>
        <w:rPr>
          <w:rFonts w:ascii="Arial" w:hAnsi="Arial" w:cs="Arial"/>
          <w:color w:val="333333"/>
          <w:sz w:val="22"/>
          <w:szCs w:val="22"/>
        </w:rPr>
        <w:t>Thermogravimetric</w:t>
      </w:r>
      <w:proofErr w:type="spellEnd"/>
      <w:r>
        <w:rPr>
          <w:rFonts w:ascii="Arial" w:hAnsi="Arial" w:cs="Arial"/>
          <w:color w:val="333333"/>
          <w:sz w:val="22"/>
          <w:szCs w:val="22"/>
        </w:rPr>
        <w:t xml:space="preserve"> Analyzer provides simultaneous measurement of both TG and DTA/DSC with a wide temperature range.</w:t>
      </w:r>
      <w:r>
        <w:rPr>
          <w:rFonts w:ascii="Arial" w:hAnsi="Arial" w:cs="Arial"/>
          <w:color w:val="333333"/>
          <w:sz w:val="22"/>
          <w:szCs w:val="22"/>
        </w:rPr>
        <w:br/>
        <w:t>The horizontal dual beam design ensures highly accurate and precise data enabling it to detect microgram-level gram level weight change.</w:t>
      </w:r>
    </w:p>
    <w:p w:rsidR="00157848" w:rsidRPr="00157848" w:rsidRDefault="00157848" w:rsidP="00157848">
      <w:pPr>
        <w:widowControl/>
        <w:pBdr>
          <w:left w:val="single" w:sz="24" w:space="4" w:color="FF0000"/>
        </w:pBdr>
        <w:shd w:val="clear" w:color="auto" w:fill="FFFFFF"/>
        <w:spacing w:after="150" w:line="312" w:lineRule="atLeast"/>
        <w:jc w:val="left"/>
        <w:outlineLvl w:val="2"/>
        <w:rPr>
          <w:rFonts w:ascii="Arial" w:eastAsia="宋体" w:hAnsi="Arial" w:cs="Arial"/>
          <w:b/>
          <w:bCs/>
          <w:color w:val="737373"/>
          <w:kern w:val="0"/>
          <w:sz w:val="24"/>
          <w:szCs w:val="24"/>
        </w:rPr>
      </w:pPr>
    </w:p>
    <w:p w:rsidR="00157848" w:rsidRPr="00157848" w:rsidRDefault="00157848" w:rsidP="00157848">
      <w:pPr>
        <w:widowControl/>
        <w:pBdr>
          <w:left w:val="single" w:sz="24" w:space="4" w:color="FF0000"/>
        </w:pBdr>
        <w:shd w:val="clear" w:color="auto" w:fill="FFFFFF"/>
        <w:spacing w:after="150" w:line="312" w:lineRule="atLeast"/>
        <w:jc w:val="left"/>
        <w:outlineLvl w:val="2"/>
        <w:rPr>
          <w:rFonts w:ascii="Arial" w:eastAsia="宋体" w:hAnsi="Arial" w:cs="Arial"/>
          <w:b/>
          <w:bCs/>
          <w:color w:val="737373"/>
          <w:kern w:val="0"/>
          <w:sz w:val="24"/>
          <w:szCs w:val="24"/>
        </w:rPr>
      </w:pPr>
      <w:r w:rsidRPr="00157848">
        <w:rPr>
          <w:rFonts w:ascii="Arial" w:eastAsia="宋体" w:hAnsi="Arial" w:cs="Arial"/>
          <w:b/>
          <w:bCs/>
          <w:color w:val="737373"/>
          <w:kern w:val="0"/>
          <w:sz w:val="24"/>
          <w:szCs w:val="24"/>
        </w:rPr>
        <w:t>New Balance Control Technology</w:t>
      </w:r>
    </w:p>
    <w:p w:rsidR="00157848" w:rsidRPr="00157848" w:rsidRDefault="00157848" w:rsidP="00157848">
      <w:pPr>
        <w:widowControl/>
        <w:shd w:val="clear" w:color="auto" w:fill="FFFFFF"/>
        <w:spacing w:after="225" w:line="302" w:lineRule="atLeast"/>
        <w:jc w:val="left"/>
        <w:rPr>
          <w:rFonts w:ascii="Arial" w:eastAsia="宋体" w:hAnsi="Arial" w:cs="Arial"/>
          <w:color w:val="333333"/>
          <w:kern w:val="0"/>
          <w:sz w:val="22"/>
        </w:rPr>
      </w:pPr>
      <w:r w:rsidRPr="00157848">
        <w:rPr>
          <w:rFonts w:ascii="Arial" w:eastAsia="宋体" w:hAnsi="Arial" w:cs="Arial"/>
          <w:color w:val="333333"/>
          <w:kern w:val="0"/>
          <w:sz w:val="22"/>
        </w:rPr>
        <w:t>The newly-developed "Horizontal Digital Dual Beam System" provides higher baseline stability and lower noise levels, than the conventional TG models. Digitally processed signals are automatically corrected and provide stable data.</w:t>
      </w:r>
    </w:p>
    <w:p w:rsidR="00157848" w:rsidRPr="00157848" w:rsidRDefault="00157848" w:rsidP="00157848">
      <w:pPr>
        <w:widowControl/>
        <w:shd w:val="clear" w:color="auto" w:fill="FFFFFF"/>
        <w:spacing w:after="150" w:line="319" w:lineRule="atLeast"/>
        <w:jc w:val="center"/>
        <w:rPr>
          <w:rFonts w:ascii="Arial" w:eastAsia="宋体" w:hAnsi="Arial" w:cs="Arial"/>
          <w:color w:val="333333"/>
          <w:kern w:val="0"/>
          <w:sz w:val="20"/>
          <w:szCs w:val="20"/>
        </w:rPr>
      </w:pPr>
      <w:r w:rsidRPr="00157848">
        <w:rPr>
          <w:rFonts w:ascii="Arial" w:eastAsia="宋体" w:hAnsi="Arial" w:cs="Arial"/>
          <w:noProof/>
          <w:color w:val="333333"/>
          <w:kern w:val="0"/>
          <w:sz w:val="20"/>
          <w:szCs w:val="20"/>
        </w:rPr>
        <w:drawing>
          <wp:inline distT="0" distB="0" distL="0" distR="0">
            <wp:extent cx="3424555" cy="1440815"/>
            <wp:effectExtent l="0" t="0" r="4445" b="6985"/>
            <wp:docPr id="6" name="图片 6" descr="https://www.hitachi-hightech.com/products/images/11813/ana-sta700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tachi-hightech.com/products/images/11813/ana-sta7000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555" cy="1440815"/>
                    </a:xfrm>
                    <a:prstGeom prst="rect">
                      <a:avLst/>
                    </a:prstGeom>
                    <a:noFill/>
                    <a:ln>
                      <a:noFill/>
                    </a:ln>
                  </pic:spPr>
                </pic:pic>
              </a:graphicData>
            </a:graphic>
          </wp:inline>
        </w:drawing>
      </w:r>
    </w:p>
    <w:p w:rsidR="00157848" w:rsidRPr="00157848" w:rsidRDefault="00157848" w:rsidP="00157848">
      <w:pPr>
        <w:widowControl/>
        <w:shd w:val="clear" w:color="auto" w:fill="FFFFFF"/>
        <w:spacing w:after="150" w:line="319" w:lineRule="atLeast"/>
        <w:jc w:val="center"/>
        <w:rPr>
          <w:rFonts w:ascii="Arial" w:eastAsia="宋体" w:hAnsi="Arial" w:cs="Arial"/>
          <w:color w:val="333333"/>
          <w:kern w:val="0"/>
          <w:sz w:val="20"/>
          <w:szCs w:val="20"/>
        </w:rPr>
      </w:pPr>
      <w:r w:rsidRPr="00157848">
        <w:rPr>
          <w:rFonts w:ascii="Arial" w:eastAsia="宋体" w:hAnsi="Arial" w:cs="Arial"/>
          <w:noProof/>
          <w:color w:val="333333"/>
          <w:kern w:val="0"/>
          <w:sz w:val="20"/>
          <w:szCs w:val="20"/>
        </w:rPr>
        <w:drawing>
          <wp:inline distT="0" distB="0" distL="0" distR="0">
            <wp:extent cx="2096135" cy="1638935"/>
            <wp:effectExtent l="0" t="0" r="0" b="0"/>
            <wp:docPr id="5" name="图片 5" descr="https://www.hitachi-hightech.com/products/images/11813/ana-sta700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itachi-hightech.com/products/images/11813/ana-sta7000_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135" cy="1638935"/>
                    </a:xfrm>
                    <a:prstGeom prst="rect">
                      <a:avLst/>
                    </a:prstGeom>
                    <a:noFill/>
                    <a:ln>
                      <a:noFill/>
                    </a:ln>
                  </pic:spPr>
                </pic:pic>
              </a:graphicData>
            </a:graphic>
          </wp:inline>
        </w:drawing>
      </w:r>
    </w:p>
    <w:p w:rsidR="00157848" w:rsidRPr="00157848" w:rsidRDefault="00157848" w:rsidP="00157848">
      <w:pPr>
        <w:widowControl/>
        <w:pBdr>
          <w:left w:val="single" w:sz="24" w:space="4" w:color="FF0000"/>
        </w:pBdr>
        <w:shd w:val="clear" w:color="auto" w:fill="FFFFFF"/>
        <w:spacing w:after="150" w:line="312" w:lineRule="atLeast"/>
        <w:jc w:val="left"/>
        <w:outlineLvl w:val="2"/>
        <w:rPr>
          <w:rFonts w:ascii="Arial" w:eastAsia="宋体" w:hAnsi="Arial" w:cs="Arial"/>
          <w:b/>
          <w:bCs/>
          <w:color w:val="737373"/>
          <w:kern w:val="0"/>
          <w:sz w:val="24"/>
          <w:szCs w:val="24"/>
        </w:rPr>
      </w:pPr>
      <w:r w:rsidRPr="00157848">
        <w:rPr>
          <w:rFonts w:ascii="Arial" w:eastAsia="宋体" w:hAnsi="Arial" w:cs="Arial"/>
          <w:b/>
          <w:bCs/>
          <w:color w:val="737373"/>
          <w:kern w:val="0"/>
          <w:sz w:val="24"/>
          <w:szCs w:val="24"/>
        </w:rPr>
        <w:t>New Temperature Control Functions</w:t>
      </w:r>
    </w:p>
    <w:p w:rsidR="00157848" w:rsidRPr="00157848" w:rsidRDefault="00157848" w:rsidP="00157848">
      <w:pPr>
        <w:widowControl/>
        <w:shd w:val="clear" w:color="auto" w:fill="FFFFFF"/>
        <w:spacing w:after="150" w:line="319" w:lineRule="atLeast"/>
        <w:jc w:val="left"/>
        <w:rPr>
          <w:rFonts w:ascii="Arial" w:eastAsia="宋体" w:hAnsi="Arial" w:cs="Arial"/>
          <w:color w:val="333333"/>
          <w:kern w:val="0"/>
          <w:sz w:val="20"/>
          <w:szCs w:val="20"/>
        </w:rPr>
      </w:pPr>
      <w:r w:rsidRPr="00157848">
        <w:rPr>
          <w:rFonts w:ascii="Arial" w:eastAsia="宋体" w:hAnsi="Arial" w:cs="Arial"/>
          <w:noProof/>
          <w:color w:val="333333"/>
          <w:kern w:val="0"/>
          <w:sz w:val="20"/>
          <w:szCs w:val="20"/>
        </w:rPr>
        <w:drawing>
          <wp:inline distT="0" distB="0" distL="0" distR="0">
            <wp:extent cx="1906270" cy="1647825"/>
            <wp:effectExtent l="0" t="0" r="0" b="0"/>
            <wp:docPr id="4" name="图片 4" descr="https://www.hitachi-hightech.com/products/images/11813/ana-sta7000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tachi-hightech.com/products/images/11813/ana-sta7000_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1647825"/>
                    </a:xfrm>
                    <a:prstGeom prst="rect">
                      <a:avLst/>
                    </a:prstGeom>
                    <a:noFill/>
                    <a:ln>
                      <a:noFill/>
                    </a:ln>
                  </pic:spPr>
                </pic:pic>
              </a:graphicData>
            </a:graphic>
          </wp:inline>
        </w:drawing>
      </w:r>
    </w:p>
    <w:p w:rsidR="00157848" w:rsidRPr="00157848" w:rsidRDefault="00157848" w:rsidP="00157848">
      <w:pPr>
        <w:widowControl/>
        <w:shd w:val="clear" w:color="auto" w:fill="FFFFFF"/>
        <w:spacing w:after="225" w:line="302" w:lineRule="atLeast"/>
        <w:jc w:val="left"/>
        <w:rPr>
          <w:rFonts w:ascii="Arial" w:eastAsia="宋体" w:hAnsi="Arial" w:cs="Arial"/>
          <w:color w:val="333333"/>
          <w:kern w:val="0"/>
          <w:sz w:val="22"/>
        </w:rPr>
      </w:pPr>
      <w:r w:rsidRPr="00157848">
        <w:rPr>
          <w:rFonts w:ascii="Arial" w:eastAsia="宋体" w:hAnsi="Arial" w:cs="Arial"/>
          <w:color w:val="333333"/>
          <w:kern w:val="0"/>
          <w:sz w:val="22"/>
        </w:rPr>
        <w:t xml:space="preserve">This revolutionary temperature control circuit minimizes the temperature difference between program and sample </w:t>
      </w:r>
      <w:proofErr w:type="spellStart"/>
      <w:r w:rsidRPr="00157848">
        <w:rPr>
          <w:rFonts w:ascii="Arial" w:eastAsia="宋体" w:hAnsi="Arial" w:cs="Arial"/>
          <w:color w:val="333333"/>
          <w:kern w:val="0"/>
          <w:sz w:val="22"/>
        </w:rPr>
        <w:t>temperrature.The</w:t>
      </w:r>
      <w:proofErr w:type="spellEnd"/>
      <w:r w:rsidRPr="00157848">
        <w:rPr>
          <w:rFonts w:ascii="Arial" w:eastAsia="宋体" w:hAnsi="Arial" w:cs="Arial"/>
          <w:color w:val="333333"/>
          <w:kern w:val="0"/>
          <w:sz w:val="22"/>
        </w:rPr>
        <w:t xml:space="preserve"> heating and cooling rate accuracy further improve the quality of the DTA/DSC and TG signal and guarantee high precision temperature readings.</w:t>
      </w:r>
    </w:p>
    <w:p w:rsidR="00157848" w:rsidRPr="00157848" w:rsidRDefault="00157848" w:rsidP="00157848">
      <w:pPr>
        <w:widowControl/>
        <w:pBdr>
          <w:left w:val="single" w:sz="24" w:space="4" w:color="FF0000"/>
        </w:pBdr>
        <w:shd w:val="clear" w:color="auto" w:fill="FFFFFF"/>
        <w:spacing w:after="150" w:line="312" w:lineRule="atLeast"/>
        <w:jc w:val="left"/>
        <w:outlineLvl w:val="2"/>
        <w:rPr>
          <w:rFonts w:ascii="Arial" w:eastAsia="宋体" w:hAnsi="Arial" w:cs="Arial"/>
          <w:b/>
          <w:bCs/>
          <w:color w:val="737373"/>
          <w:kern w:val="0"/>
          <w:sz w:val="24"/>
          <w:szCs w:val="24"/>
        </w:rPr>
      </w:pPr>
      <w:r w:rsidRPr="00157848">
        <w:rPr>
          <w:rFonts w:ascii="Arial" w:eastAsia="宋体" w:hAnsi="Arial" w:cs="Arial"/>
          <w:b/>
          <w:bCs/>
          <w:color w:val="737373"/>
          <w:kern w:val="0"/>
          <w:sz w:val="24"/>
          <w:szCs w:val="24"/>
        </w:rPr>
        <w:lastRenderedPageBreak/>
        <w:t>High-Throughput Measurement with a Wide Range of Options</w:t>
      </w:r>
    </w:p>
    <w:p w:rsidR="00157848" w:rsidRPr="00157848" w:rsidRDefault="00157848" w:rsidP="00157848">
      <w:pPr>
        <w:widowControl/>
        <w:shd w:val="clear" w:color="auto" w:fill="FFFFFF"/>
        <w:spacing w:after="150" w:line="319" w:lineRule="atLeast"/>
        <w:jc w:val="left"/>
        <w:rPr>
          <w:rFonts w:ascii="Arial" w:eastAsia="宋体" w:hAnsi="Arial" w:cs="Arial"/>
          <w:color w:val="333333"/>
          <w:kern w:val="0"/>
          <w:sz w:val="20"/>
          <w:szCs w:val="20"/>
        </w:rPr>
      </w:pPr>
      <w:r w:rsidRPr="00157848">
        <w:rPr>
          <w:rFonts w:ascii="Arial" w:eastAsia="宋体" w:hAnsi="Arial" w:cs="Arial"/>
          <w:noProof/>
          <w:color w:val="333333"/>
          <w:kern w:val="0"/>
          <w:sz w:val="20"/>
          <w:szCs w:val="20"/>
        </w:rPr>
        <w:drawing>
          <wp:inline distT="0" distB="0" distL="0" distR="0">
            <wp:extent cx="1906270" cy="1509395"/>
            <wp:effectExtent l="0" t="0" r="0" b="0"/>
            <wp:docPr id="3" name="图片 3" descr="https://www.hitachi-hightech.com/products/images/11813/ana-sta700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itachi-hightech.com/products/images/11813/ana-sta7000_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509395"/>
                    </a:xfrm>
                    <a:prstGeom prst="rect">
                      <a:avLst/>
                    </a:prstGeom>
                    <a:noFill/>
                    <a:ln>
                      <a:noFill/>
                    </a:ln>
                  </pic:spPr>
                </pic:pic>
              </a:graphicData>
            </a:graphic>
          </wp:inline>
        </w:drawing>
      </w:r>
    </w:p>
    <w:p w:rsidR="00157848" w:rsidRPr="00157848" w:rsidRDefault="00157848" w:rsidP="00157848">
      <w:pPr>
        <w:widowControl/>
        <w:shd w:val="clear" w:color="auto" w:fill="FFFFFF"/>
        <w:spacing w:after="225" w:line="302" w:lineRule="atLeast"/>
        <w:jc w:val="left"/>
        <w:rPr>
          <w:rFonts w:ascii="Arial" w:eastAsia="宋体" w:hAnsi="Arial" w:cs="Arial"/>
          <w:color w:val="333333"/>
          <w:kern w:val="0"/>
          <w:sz w:val="22"/>
        </w:rPr>
      </w:pPr>
      <w:r w:rsidRPr="00157848">
        <w:rPr>
          <w:rFonts w:ascii="Arial" w:eastAsia="宋体" w:hAnsi="Arial" w:cs="Arial"/>
          <w:color w:val="333333"/>
          <w:kern w:val="0"/>
          <w:sz w:val="22"/>
        </w:rPr>
        <w:t xml:space="preserve">The </w:t>
      </w:r>
      <w:proofErr w:type="spellStart"/>
      <w:r w:rsidRPr="00157848">
        <w:rPr>
          <w:rFonts w:ascii="Arial" w:eastAsia="宋体" w:hAnsi="Arial" w:cs="Arial"/>
          <w:color w:val="333333"/>
          <w:kern w:val="0"/>
          <w:sz w:val="22"/>
        </w:rPr>
        <w:t>Autosampler</w:t>
      </w:r>
      <w:proofErr w:type="spellEnd"/>
      <w:r w:rsidRPr="00157848">
        <w:rPr>
          <w:rFonts w:ascii="Arial" w:eastAsia="宋体" w:hAnsi="Arial" w:cs="Arial"/>
          <w:color w:val="333333"/>
          <w:kern w:val="0"/>
          <w:sz w:val="22"/>
        </w:rPr>
        <w:t xml:space="preserve"> and Mass Flow Controller improve the effectiveness of measurement. New </w:t>
      </w:r>
      <w:proofErr w:type="spellStart"/>
      <w:r w:rsidRPr="00157848">
        <w:rPr>
          <w:rFonts w:ascii="Arial" w:eastAsia="宋体" w:hAnsi="Arial" w:cs="Arial"/>
          <w:color w:val="333333"/>
          <w:kern w:val="0"/>
          <w:sz w:val="22"/>
        </w:rPr>
        <w:t>autosampler</w:t>
      </w:r>
      <w:proofErr w:type="spellEnd"/>
      <w:r w:rsidRPr="00157848">
        <w:rPr>
          <w:rFonts w:ascii="Arial" w:eastAsia="宋体" w:hAnsi="Arial" w:cs="Arial"/>
          <w:color w:val="333333"/>
          <w:kern w:val="0"/>
          <w:sz w:val="22"/>
        </w:rPr>
        <w:t xml:space="preserve"> accommodates up to 50 samples.</w:t>
      </w:r>
    </w:p>
    <w:p w:rsidR="00157848" w:rsidRPr="00157848" w:rsidRDefault="00157848" w:rsidP="00157848">
      <w:pPr>
        <w:widowControl/>
        <w:pBdr>
          <w:left w:val="single" w:sz="24" w:space="4" w:color="FF0000"/>
        </w:pBdr>
        <w:shd w:val="clear" w:color="auto" w:fill="FFFFFF"/>
        <w:spacing w:after="150" w:line="312" w:lineRule="atLeast"/>
        <w:jc w:val="left"/>
        <w:outlineLvl w:val="2"/>
        <w:rPr>
          <w:rFonts w:ascii="Arial" w:eastAsia="宋体" w:hAnsi="Arial" w:cs="Arial"/>
          <w:b/>
          <w:bCs/>
          <w:color w:val="737373"/>
          <w:kern w:val="0"/>
          <w:sz w:val="24"/>
          <w:szCs w:val="24"/>
        </w:rPr>
      </w:pPr>
      <w:r w:rsidRPr="00157848">
        <w:rPr>
          <w:rFonts w:ascii="Arial" w:eastAsia="宋体" w:hAnsi="Arial" w:cs="Arial"/>
          <w:b/>
          <w:bCs/>
          <w:color w:val="737373"/>
          <w:kern w:val="0"/>
          <w:sz w:val="24"/>
          <w:szCs w:val="24"/>
        </w:rPr>
        <w:t>"Real View STA" Sample Observation Option</w:t>
      </w:r>
    </w:p>
    <w:p w:rsidR="00157848" w:rsidRPr="00157848" w:rsidRDefault="00157848" w:rsidP="00157848">
      <w:pPr>
        <w:widowControl/>
        <w:shd w:val="clear" w:color="auto" w:fill="FFFFFF"/>
        <w:spacing w:after="225" w:line="302" w:lineRule="atLeast"/>
        <w:jc w:val="left"/>
        <w:rPr>
          <w:rFonts w:ascii="Arial" w:eastAsia="宋体" w:hAnsi="Arial" w:cs="Arial"/>
          <w:color w:val="333333"/>
          <w:kern w:val="0"/>
          <w:sz w:val="22"/>
        </w:rPr>
      </w:pPr>
      <w:r w:rsidRPr="00157848">
        <w:rPr>
          <w:rFonts w:ascii="Arial" w:eastAsia="宋体" w:hAnsi="Arial" w:cs="Arial"/>
          <w:color w:val="333333"/>
          <w:kern w:val="0"/>
          <w:sz w:val="22"/>
        </w:rPr>
        <w:t>Real View STA displays and saves the changes of samples during a measurement in continuous images. After the measurement, you can load the saved images by using the diagnosis software to display and analyze the images at each corresponding temperature and signal. When evaluating thermal decomposition, this option provides more reliable information.</w:t>
      </w:r>
      <w:r w:rsidRPr="00157848">
        <w:rPr>
          <w:rFonts w:ascii="Arial" w:eastAsia="宋体" w:hAnsi="Arial" w:cs="Arial"/>
          <w:color w:val="333333"/>
          <w:kern w:val="0"/>
          <w:sz w:val="22"/>
        </w:rPr>
        <w:br/>
        <w:t>The Digital Zoom Function provides information of minute change of the sample. In addition, the Length Measurement Function measures the length of the sample before and after the shape change.</w:t>
      </w:r>
    </w:p>
    <w:p w:rsidR="00157848" w:rsidRPr="00157848" w:rsidRDefault="00157848" w:rsidP="00157848">
      <w:pPr>
        <w:widowControl/>
        <w:shd w:val="clear" w:color="auto" w:fill="FFFFFF"/>
        <w:spacing w:after="150" w:line="319" w:lineRule="atLeast"/>
        <w:jc w:val="center"/>
        <w:rPr>
          <w:rFonts w:ascii="Arial" w:eastAsia="宋体" w:hAnsi="Arial" w:cs="Arial"/>
          <w:color w:val="333333"/>
          <w:kern w:val="0"/>
          <w:sz w:val="20"/>
          <w:szCs w:val="20"/>
        </w:rPr>
      </w:pPr>
      <w:r w:rsidRPr="00157848">
        <w:rPr>
          <w:rFonts w:ascii="Arial" w:eastAsia="宋体" w:hAnsi="Arial" w:cs="Arial"/>
          <w:noProof/>
          <w:color w:val="333333"/>
          <w:kern w:val="0"/>
          <w:sz w:val="20"/>
          <w:szCs w:val="20"/>
        </w:rPr>
        <w:drawing>
          <wp:inline distT="0" distB="0" distL="0" distR="0">
            <wp:extent cx="1725295" cy="1431925"/>
            <wp:effectExtent l="0" t="0" r="8255" b="0"/>
            <wp:docPr id="2" name="图片 2" descr="STA7200RV+RV-3TG+AS-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7200RV+RV-3TG+AS-3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295" cy="1431925"/>
                    </a:xfrm>
                    <a:prstGeom prst="rect">
                      <a:avLst/>
                    </a:prstGeom>
                    <a:noFill/>
                    <a:ln>
                      <a:noFill/>
                    </a:ln>
                  </pic:spPr>
                </pic:pic>
              </a:graphicData>
            </a:graphic>
          </wp:inline>
        </w:drawing>
      </w:r>
      <w:r w:rsidRPr="00157848">
        <w:rPr>
          <w:rFonts w:ascii="Arial" w:eastAsia="宋体" w:hAnsi="Arial" w:cs="Arial"/>
          <w:color w:val="333333"/>
          <w:kern w:val="0"/>
          <w:sz w:val="20"/>
          <w:szCs w:val="20"/>
        </w:rPr>
        <w:br/>
        <w:t>STA7200RV+RV-3TG+AS-3T</w:t>
      </w:r>
    </w:p>
    <w:p w:rsidR="00157848" w:rsidRPr="00157848" w:rsidRDefault="00157848" w:rsidP="00157848">
      <w:pPr>
        <w:widowControl/>
        <w:numPr>
          <w:ilvl w:val="0"/>
          <w:numId w:val="1"/>
        </w:numPr>
        <w:shd w:val="clear" w:color="auto" w:fill="FFFFFF"/>
        <w:spacing w:after="75" w:line="279" w:lineRule="atLeast"/>
        <w:ind w:left="0" w:hanging="240"/>
        <w:jc w:val="left"/>
        <w:rPr>
          <w:rFonts w:ascii="Arial" w:eastAsia="宋体" w:hAnsi="Arial" w:cs="Arial"/>
          <w:b/>
          <w:bCs/>
          <w:color w:val="000000"/>
          <w:kern w:val="0"/>
          <w:sz w:val="20"/>
          <w:szCs w:val="20"/>
        </w:rPr>
      </w:pPr>
      <w:r w:rsidRPr="00157848">
        <w:rPr>
          <w:rFonts w:ascii="Arial" w:eastAsia="宋体" w:hAnsi="Arial" w:cs="Arial"/>
          <w:b/>
          <w:bCs/>
          <w:color w:val="000000"/>
          <w:kern w:val="0"/>
          <w:sz w:val="20"/>
          <w:szCs w:val="20"/>
        </w:rPr>
        <w:t xml:space="preserve">* RV-3 is not available for sell in Europe </w:t>
      </w:r>
      <w:bookmarkStart w:id="1" w:name="_GoBack"/>
      <w:bookmarkEnd w:id="1"/>
      <w:r w:rsidRPr="00157848">
        <w:rPr>
          <w:rFonts w:ascii="Arial" w:eastAsia="宋体" w:hAnsi="Arial" w:cs="Arial"/>
          <w:b/>
          <w:bCs/>
          <w:color w:val="000000"/>
          <w:kern w:val="0"/>
          <w:sz w:val="20"/>
          <w:szCs w:val="20"/>
        </w:rPr>
        <w:t>at the moment.</w:t>
      </w:r>
    </w:p>
    <w:p w:rsidR="00157848" w:rsidRPr="00157848" w:rsidRDefault="00157848" w:rsidP="00157848">
      <w:pPr>
        <w:widowControl/>
        <w:shd w:val="clear" w:color="auto" w:fill="FFFFFF"/>
        <w:spacing w:after="150" w:line="319" w:lineRule="atLeast"/>
        <w:jc w:val="center"/>
        <w:rPr>
          <w:rFonts w:ascii="Arial" w:eastAsia="宋体" w:hAnsi="Arial" w:cs="Arial"/>
          <w:color w:val="333333"/>
          <w:kern w:val="0"/>
          <w:sz w:val="20"/>
          <w:szCs w:val="20"/>
        </w:rPr>
      </w:pPr>
      <w:r w:rsidRPr="00157848">
        <w:rPr>
          <w:rFonts w:ascii="Arial" w:eastAsia="宋体" w:hAnsi="Arial" w:cs="Arial"/>
          <w:noProof/>
          <w:color w:val="333333"/>
          <w:kern w:val="0"/>
          <w:sz w:val="20"/>
          <w:szCs w:val="20"/>
        </w:rPr>
        <w:lastRenderedPageBreak/>
        <w:drawing>
          <wp:inline distT="0" distB="0" distL="0" distR="0">
            <wp:extent cx="3243580" cy="2208530"/>
            <wp:effectExtent l="0" t="0" r="0" b="1270"/>
            <wp:docPr id="1" name="图片 1" descr="Real View STA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 View STA D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3580" cy="2208530"/>
                    </a:xfrm>
                    <a:prstGeom prst="rect">
                      <a:avLst/>
                    </a:prstGeom>
                    <a:noFill/>
                    <a:ln>
                      <a:noFill/>
                    </a:ln>
                  </pic:spPr>
                </pic:pic>
              </a:graphicData>
            </a:graphic>
          </wp:inline>
        </w:drawing>
      </w:r>
      <w:r w:rsidRPr="00157848">
        <w:rPr>
          <w:rFonts w:ascii="Arial" w:eastAsia="宋体" w:hAnsi="Arial" w:cs="Arial"/>
          <w:color w:val="333333"/>
          <w:kern w:val="0"/>
          <w:sz w:val="20"/>
          <w:szCs w:val="20"/>
        </w:rPr>
        <w:br/>
        <w:t>Real View STA Data</w:t>
      </w:r>
    </w:p>
    <w:p w:rsidR="00F23C45" w:rsidRDefault="00F23C45"/>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rsidP="00157848">
      <w:pPr>
        <w:pStyle w:val="2"/>
        <w:keepNext w:val="0"/>
        <w:keepLines w:val="0"/>
        <w:widowControl/>
        <w:numPr>
          <w:ilvl w:val="0"/>
          <w:numId w:val="3"/>
        </w:numPr>
        <w:shd w:val="clear" w:color="auto" w:fill="F2F2F2"/>
        <w:spacing w:before="0" w:after="225" w:line="384" w:lineRule="atLeast"/>
        <w:ind w:left="0"/>
        <w:jc w:val="left"/>
        <w:rPr>
          <w:rFonts w:ascii="Arial" w:hAnsi="Arial" w:cs="Arial"/>
          <w:b w:val="0"/>
          <w:bCs w:val="0"/>
          <w:color w:val="333333"/>
          <w:sz w:val="24"/>
          <w:szCs w:val="24"/>
        </w:rPr>
      </w:pPr>
      <w:hyperlink r:id="rId14" w:anchor="productSub-2" w:history="1">
        <w:r>
          <w:rPr>
            <w:rStyle w:val="a3"/>
            <w:rFonts w:ascii="Arial" w:hAnsi="Arial" w:cs="Arial"/>
            <w:color w:val="333333"/>
            <w:sz w:val="19"/>
            <w:szCs w:val="19"/>
          </w:rPr>
          <w:t>Applications</w:t>
        </w:r>
      </w:hyperlink>
    </w:p>
    <w:tbl>
      <w:tblPr>
        <w:tblW w:w="10785" w:type="dxa"/>
        <w:tblCellMar>
          <w:top w:w="15" w:type="dxa"/>
          <w:left w:w="15" w:type="dxa"/>
          <w:bottom w:w="15" w:type="dxa"/>
          <w:right w:w="15" w:type="dxa"/>
        </w:tblCellMar>
        <w:tblLook w:val="04A0" w:firstRow="1" w:lastRow="0" w:firstColumn="1" w:lastColumn="0" w:noHBand="0" w:noVBand="1"/>
      </w:tblPr>
      <w:tblGrid>
        <w:gridCol w:w="2171"/>
        <w:gridCol w:w="1696"/>
        <w:gridCol w:w="2518"/>
        <w:gridCol w:w="2473"/>
        <w:gridCol w:w="1927"/>
      </w:tblGrid>
      <w:tr w:rsidR="00157848" w:rsidTr="00157848">
        <w:tc>
          <w:tcPr>
            <w:tcW w:w="0" w:type="auto"/>
            <w:tcBorders>
              <w:top w:val="single" w:sz="6" w:space="0" w:color="DDDDDD"/>
              <w:left w:val="single" w:sz="6" w:space="0" w:color="DDDDDD"/>
              <w:bottom w:val="single" w:sz="6" w:space="0" w:color="DDDDDD"/>
              <w:right w:val="single" w:sz="6" w:space="0" w:color="DDDDDD"/>
            </w:tcBorders>
            <w:shd w:val="clear" w:color="auto" w:fill="F2F2F2"/>
            <w:tcMar>
              <w:top w:w="150" w:type="dxa"/>
              <w:left w:w="225" w:type="dxa"/>
              <w:bottom w:w="150" w:type="dxa"/>
              <w:right w:w="225" w:type="dxa"/>
            </w:tcMar>
            <w:vAlign w:val="center"/>
            <w:hideMark/>
          </w:tcPr>
          <w:p w:rsidR="00157848" w:rsidRDefault="00157848">
            <w:pPr>
              <w:spacing w:line="279" w:lineRule="atLeast"/>
              <w:rPr>
                <w:rFonts w:ascii="宋体" w:hAnsi="宋体" w:cs="宋体"/>
                <w:sz w:val="20"/>
                <w:szCs w:val="20"/>
              </w:rPr>
            </w:pPr>
            <w:r>
              <w:rPr>
                <w:sz w:val="20"/>
                <w:szCs w:val="20"/>
              </w:rPr>
              <w:t>Model</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STA7200</w:t>
            </w:r>
            <w:r>
              <w:rPr>
                <w:sz w:val="20"/>
                <w:szCs w:val="20"/>
              </w:rPr>
              <w:br/>
              <w:t>standard type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STA7200RV for sample observation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STA7300 High Temperature Type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AS-3T Auto Sampler Unit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Temperature Range</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Ambient to 1,100°C</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Ambient to 1,000°C</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Ambient to 1,500°C</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Balance Type</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Horizontal Differential Type</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TG Measurement Range</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±400 mg</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TG Sensitivity</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0.2 µg</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DTA Measurement Range</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±1,000 µV</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lastRenderedPageBreak/>
              <w:t>Scan Rate</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0.01 to 150°C/min</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0.01 to 100°C/min</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Purge Gas Flow Rate</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0 to 1,000 ml/min</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Cooling Time</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pStyle w:val="a4"/>
              <w:spacing w:before="0" w:beforeAutospacing="0" w:after="0" w:afterAutospacing="0" w:line="319" w:lineRule="atLeast"/>
              <w:rPr>
                <w:sz w:val="20"/>
                <w:szCs w:val="20"/>
              </w:rPr>
            </w:pPr>
            <w:r>
              <w:rPr>
                <w:sz w:val="20"/>
                <w:szCs w:val="20"/>
              </w:rPr>
              <w:t>1,000 to 50°C Within 20min(Auto Fan Cooling),</w:t>
            </w:r>
          </w:p>
          <w:p w:rsidR="00157848" w:rsidRDefault="00157848">
            <w:pPr>
              <w:pStyle w:val="a4"/>
              <w:spacing w:before="0" w:beforeAutospacing="0" w:after="0" w:afterAutospacing="0" w:line="319" w:lineRule="atLeast"/>
              <w:rPr>
                <w:sz w:val="20"/>
                <w:szCs w:val="20"/>
              </w:rPr>
            </w:pPr>
            <w:r>
              <w:rPr>
                <w:sz w:val="20"/>
                <w:szCs w:val="20"/>
              </w:rPr>
              <w:t>12min(Forced Air Cooling)</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r>
      <w:tr w:rsidR="00157848" w:rsidTr="00157848">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Number of Samples</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w:t>
            </w:r>
          </w:p>
        </w:tc>
        <w:tc>
          <w:tcPr>
            <w:tcW w:w="0" w:type="auto"/>
            <w:tcBorders>
              <w:top w:val="single" w:sz="6" w:space="0" w:color="DDDDDD"/>
              <w:left w:val="single" w:sz="6" w:space="0" w:color="DDDDDD"/>
              <w:bottom w:val="single" w:sz="6" w:space="0" w:color="DDDDDD"/>
              <w:right w:val="single" w:sz="6" w:space="0" w:color="DDDDDD"/>
            </w:tcBorders>
            <w:tcMar>
              <w:top w:w="150" w:type="dxa"/>
              <w:left w:w="225" w:type="dxa"/>
              <w:bottom w:w="150" w:type="dxa"/>
              <w:right w:w="225" w:type="dxa"/>
            </w:tcMar>
            <w:vAlign w:val="center"/>
            <w:hideMark/>
          </w:tcPr>
          <w:p w:rsidR="00157848" w:rsidRDefault="00157848">
            <w:pPr>
              <w:spacing w:line="279" w:lineRule="atLeast"/>
              <w:rPr>
                <w:sz w:val="20"/>
                <w:szCs w:val="20"/>
              </w:rPr>
            </w:pPr>
            <w:r>
              <w:rPr>
                <w:sz w:val="20"/>
                <w:szCs w:val="20"/>
              </w:rPr>
              <w:t>Max. 50</w:t>
            </w:r>
          </w:p>
        </w:tc>
      </w:tr>
    </w:tbl>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p w:rsidR="00157848" w:rsidRDefault="00157848" w:rsidP="00157848">
      <w:pPr>
        <w:pStyle w:val="3"/>
        <w:pBdr>
          <w:left w:val="single" w:sz="24" w:space="4" w:color="FF0000"/>
        </w:pBdr>
        <w:shd w:val="clear" w:color="auto" w:fill="FFFFFF"/>
        <w:spacing w:before="0" w:beforeAutospacing="0" w:after="150" w:afterAutospacing="0" w:line="312" w:lineRule="atLeast"/>
        <w:rPr>
          <w:rFonts w:ascii="Arial" w:hAnsi="Arial" w:cs="Arial"/>
          <w:color w:val="737373"/>
          <w:sz w:val="24"/>
          <w:szCs w:val="24"/>
        </w:rPr>
      </w:pPr>
      <w:r>
        <w:rPr>
          <w:rFonts w:ascii="Arial" w:hAnsi="Arial" w:cs="Arial"/>
          <w:color w:val="737373"/>
          <w:sz w:val="24"/>
          <w:szCs w:val="24"/>
        </w:rPr>
        <w:t>Thermal decomposition of Polymers</w:t>
      </w:r>
    </w:p>
    <w:p w:rsidR="00157848" w:rsidRDefault="00157848" w:rsidP="00157848">
      <w:pPr>
        <w:pStyle w:val="imgonlystyle"/>
        <w:shd w:val="clear" w:color="auto" w:fill="FFFFFF"/>
        <w:spacing w:before="0" w:beforeAutospacing="0" w:after="150" w:afterAutospacing="0" w:line="319" w:lineRule="atLeast"/>
        <w:jc w:val="center"/>
        <w:rPr>
          <w:rFonts w:ascii="Arial" w:hAnsi="Arial" w:cs="Arial"/>
          <w:color w:val="333333"/>
          <w:sz w:val="20"/>
          <w:szCs w:val="20"/>
        </w:rPr>
      </w:pPr>
      <w:r>
        <w:rPr>
          <w:rFonts w:ascii="Arial" w:hAnsi="Arial" w:cs="Arial"/>
          <w:noProof/>
          <w:color w:val="333333"/>
          <w:sz w:val="20"/>
          <w:szCs w:val="20"/>
        </w:rPr>
        <w:drawing>
          <wp:inline distT="0" distB="0" distL="0" distR="0">
            <wp:extent cx="2855595" cy="2139315"/>
            <wp:effectExtent l="0" t="0" r="1905" b="0"/>
            <wp:docPr id="11" name="图片 11" descr="https://www.hitachi-hightech.com/products/images/11813/ana-sta7000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itachi-hightech.com/products/images/11813/ana-sta7000_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p>
    <w:p w:rsidR="00157848" w:rsidRDefault="00157848" w:rsidP="00157848">
      <w:pPr>
        <w:pStyle w:val="textstyle1"/>
        <w:shd w:val="clear" w:color="auto" w:fill="FFFFFF"/>
        <w:spacing w:before="0" w:beforeAutospacing="0" w:after="225" w:afterAutospacing="0" w:line="302" w:lineRule="atLeast"/>
        <w:rPr>
          <w:rFonts w:ascii="Arial" w:hAnsi="Arial" w:cs="Arial"/>
          <w:color w:val="333333"/>
          <w:sz w:val="22"/>
          <w:szCs w:val="22"/>
        </w:rPr>
      </w:pPr>
      <w:r>
        <w:rPr>
          <w:rFonts w:ascii="Arial" w:hAnsi="Arial" w:cs="Arial"/>
          <w:color w:val="333333"/>
          <w:sz w:val="22"/>
          <w:szCs w:val="22"/>
        </w:rPr>
        <w:t>This is comparison of TG result of various polymers. It shows that thermal decomposition behavior differs by polymer type.</w:t>
      </w:r>
    </w:p>
    <w:p w:rsidR="00157848" w:rsidRDefault="00157848" w:rsidP="00157848">
      <w:pPr>
        <w:pStyle w:val="3"/>
        <w:pBdr>
          <w:left w:val="single" w:sz="24" w:space="4" w:color="FF0000"/>
        </w:pBdr>
        <w:shd w:val="clear" w:color="auto" w:fill="FFFFFF"/>
        <w:spacing w:before="0" w:beforeAutospacing="0" w:after="150" w:afterAutospacing="0" w:line="312" w:lineRule="atLeast"/>
        <w:rPr>
          <w:rFonts w:ascii="Arial" w:hAnsi="Arial" w:cs="Arial"/>
          <w:color w:val="737373"/>
          <w:sz w:val="24"/>
          <w:szCs w:val="24"/>
        </w:rPr>
      </w:pPr>
      <w:r>
        <w:rPr>
          <w:rFonts w:ascii="Arial" w:hAnsi="Arial" w:cs="Arial"/>
          <w:color w:val="737373"/>
          <w:sz w:val="24"/>
          <w:szCs w:val="24"/>
        </w:rPr>
        <w:t>TG/DSC measurement of Polyethylene terephthalate (PET)</w:t>
      </w:r>
    </w:p>
    <w:p w:rsidR="00157848" w:rsidRDefault="00157848" w:rsidP="00157848">
      <w:pPr>
        <w:pStyle w:val="imgonlystyle"/>
        <w:shd w:val="clear" w:color="auto" w:fill="FFFFFF"/>
        <w:spacing w:before="0" w:beforeAutospacing="0" w:after="150" w:afterAutospacing="0" w:line="319" w:lineRule="atLeast"/>
        <w:jc w:val="center"/>
        <w:rPr>
          <w:rFonts w:ascii="Arial" w:hAnsi="Arial" w:cs="Arial"/>
          <w:color w:val="333333"/>
          <w:sz w:val="20"/>
          <w:szCs w:val="20"/>
        </w:rPr>
      </w:pPr>
      <w:r>
        <w:rPr>
          <w:rFonts w:ascii="Arial" w:hAnsi="Arial" w:cs="Arial"/>
          <w:noProof/>
          <w:color w:val="333333"/>
          <w:sz w:val="20"/>
          <w:szCs w:val="20"/>
        </w:rPr>
        <w:lastRenderedPageBreak/>
        <w:drawing>
          <wp:inline distT="0" distB="0" distL="0" distR="0">
            <wp:extent cx="2855595" cy="2139315"/>
            <wp:effectExtent l="0" t="0" r="1905" b="0"/>
            <wp:docPr id="10" name="图片 10" descr="https://www.hitachi-hightech.com/products/images/11813/ana-sta7000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itachi-hightech.com/products/images/11813/ana-sta7000_0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p>
    <w:p w:rsidR="00157848" w:rsidRDefault="00157848" w:rsidP="00157848">
      <w:pPr>
        <w:pStyle w:val="textstyle1"/>
        <w:shd w:val="clear" w:color="auto" w:fill="FFFFFF"/>
        <w:spacing w:before="0" w:beforeAutospacing="0" w:after="225" w:afterAutospacing="0" w:line="302" w:lineRule="atLeast"/>
        <w:rPr>
          <w:rFonts w:ascii="Arial" w:hAnsi="Arial" w:cs="Arial"/>
          <w:color w:val="333333"/>
          <w:sz w:val="22"/>
          <w:szCs w:val="22"/>
        </w:rPr>
      </w:pPr>
      <w:r>
        <w:rPr>
          <w:rFonts w:ascii="Arial" w:hAnsi="Arial" w:cs="Arial"/>
          <w:color w:val="333333"/>
          <w:sz w:val="22"/>
          <w:szCs w:val="22"/>
        </w:rPr>
        <w:t>DSC result shows the calorimetric analysis for crystallization and melting and TG shows weight change by thermal decomposition.</w:t>
      </w:r>
    </w:p>
    <w:p w:rsidR="00157848" w:rsidRDefault="00157848" w:rsidP="00157848">
      <w:pPr>
        <w:pStyle w:val="3"/>
        <w:pBdr>
          <w:left w:val="single" w:sz="24" w:space="4" w:color="FF0000"/>
        </w:pBdr>
        <w:shd w:val="clear" w:color="auto" w:fill="FFFFFF"/>
        <w:spacing w:before="0" w:beforeAutospacing="0" w:after="150" w:afterAutospacing="0" w:line="312" w:lineRule="atLeast"/>
        <w:rPr>
          <w:rFonts w:ascii="Arial" w:hAnsi="Arial" w:cs="Arial"/>
          <w:color w:val="737373"/>
          <w:sz w:val="24"/>
          <w:szCs w:val="24"/>
        </w:rPr>
      </w:pPr>
      <w:r>
        <w:rPr>
          <w:rFonts w:ascii="Arial" w:hAnsi="Arial" w:cs="Arial"/>
          <w:color w:val="737373"/>
          <w:sz w:val="24"/>
          <w:szCs w:val="24"/>
        </w:rPr>
        <w:t>TG-MS analysis of Fullerene</w:t>
      </w:r>
    </w:p>
    <w:p w:rsidR="00157848" w:rsidRDefault="00157848" w:rsidP="00157848">
      <w:pPr>
        <w:pStyle w:val="imgonlystyle"/>
        <w:shd w:val="clear" w:color="auto" w:fill="FFFFFF"/>
        <w:spacing w:before="0" w:beforeAutospacing="0" w:after="150" w:afterAutospacing="0" w:line="319" w:lineRule="atLeast"/>
        <w:rPr>
          <w:rFonts w:ascii="Arial" w:hAnsi="Arial" w:cs="Arial"/>
          <w:color w:val="333333"/>
          <w:sz w:val="20"/>
          <w:szCs w:val="20"/>
        </w:rPr>
      </w:pPr>
      <w:r>
        <w:rPr>
          <w:rFonts w:ascii="Arial" w:hAnsi="Arial" w:cs="Arial"/>
          <w:noProof/>
          <w:color w:val="333333"/>
          <w:sz w:val="20"/>
          <w:szCs w:val="20"/>
        </w:rPr>
        <w:drawing>
          <wp:inline distT="0" distB="0" distL="0" distR="0">
            <wp:extent cx="2855595" cy="2139315"/>
            <wp:effectExtent l="0" t="0" r="1905" b="0"/>
            <wp:docPr id="9" name="图片 9" descr="https://www.hitachi-hightech.com/products/images/11813/ana-sta7000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itachi-hightech.com/products/images/11813/ana-sta7000_0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r>
        <w:rPr>
          <w:rFonts w:ascii="Arial" w:hAnsi="Arial" w:cs="Arial"/>
          <w:color w:val="333333"/>
          <w:sz w:val="20"/>
          <w:szCs w:val="20"/>
        </w:rPr>
        <w:t xml:space="preserve">　</w:t>
      </w:r>
      <w:r>
        <w:rPr>
          <w:rFonts w:ascii="Arial" w:hAnsi="Arial" w:cs="Arial"/>
          <w:noProof/>
          <w:color w:val="333333"/>
          <w:sz w:val="20"/>
          <w:szCs w:val="20"/>
        </w:rPr>
        <w:drawing>
          <wp:inline distT="0" distB="0" distL="0" distR="0">
            <wp:extent cx="3813175" cy="2139315"/>
            <wp:effectExtent l="0" t="0" r="0" b="0"/>
            <wp:docPr id="8" name="图片 8" descr="https://www.hitachi-hightech.com/products/images/11813/ana-sta7000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itachi-hightech.com/products/images/11813/ana-sta7000_1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175" cy="2139315"/>
                    </a:xfrm>
                    <a:prstGeom prst="rect">
                      <a:avLst/>
                    </a:prstGeom>
                    <a:noFill/>
                    <a:ln>
                      <a:noFill/>
                    </a:ln>
                  </pic:spPr>
                </pic:pic>
              </a:graphicData>
            </a:graphic>
          </wp:inline>
        </w:drawing>
      </w:r>
    </w:p>
    <w:p w:rsidR="00157848" w:rsidRDefault="00157848" w:rsidP="00157848">
      <w:pPr>
        <w:pStyle w:val="textstyle1"/>
        <w:shd w:val="clear" w:color="auto" w:fill="FFFFFF"/>
        <w:spacing w:before="0" w:beforeAutospacing="0" w:after="0" w:afterAutospacing="0" w:line="302" w:lineRule="atLeast"/>
        <w:rPr>
          <w:rFonts w:ascii="Arial" w:hAnsi="Arial" w:cs="Arial"/>
          <w:color w:val="333333"/>
          <w:sz w:val="22"/>
          <w:szCs w:val="22"/>
        </w:rPr>
      </w:pPr>
      <w:r>
        <w:rPr>
          <w:rFonts w:ascii="Arial" w:hAnsi="Arial" w:cs="Arial"/>
          <w:color w:val="333333"/>
          <w:sz w:val="22"/>
          <w:szCs w:val="22"/>
        </w:rPr>
        <w:t>Weight loss was detected by TG at around 520°C and the evolved gas was identified by MS as CO and CO</w:t>
      </w:r>
      <w:r>
        <w:rPr>
          <w:rFonts w:ascii="Arial" w:hAnsi="Arial" w:cs="Arial"/>
          <w:color w:val="333333"/>
          <w:sz w:val="20"/>
          <w:szCs w:val="20"/>
          <w:vertAlign w:val="subscript"/>
        </w:rPr>
        <w:t>2</w:t>
      </w:r>
      <w:r>
        <w:rPr>
          <w:rFonts w:ascii="Arial" w:hAnsi="Arial" w:cs="Arial"/>
          <w:color w:val="333333"/>
          <w:sz w:val="22"/>
          <w:szCs w:val="22"/>
        </w:rPr>
        <w:t>.</w:t>
      </w:r>
    </w:p>
    <w:p w:rsidR="00157848" w:rsidRPr="00157848" w:rsidRDefault="00157848"/>
    <w:p w:rsidR="00157848" w:rsidRDefault="00157848">
      <w:pPr>
        <w:rPr>
          <w:rFonts w:hint="eastAsia"/>
        </w:rPr>
      </w:pPr>
    </w:p>
    <w:sectPr w:rsidR="00157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52CBF"/>
    <w:multiLevelType w:val="multilevel"/>
    <w:tmpl w:val="951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B6143"/>
    <w:multiLevelType w:val="multilevel"/>
    <w:tmpl w:val="3DBE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52257"/>
    <w:multiLevelType w:val="multilevel"/>
    <w:tmpl w:val="3E6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D2"/>
    <w:rsid w:val="00154490"/>
    <w:rsid w:val="00157848"/>
    <w:rsid w:val="004268D2"/>
    <w:rsid w:val="00F2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F3E1"/>
  <w15:chartTrackingRefBased/>
  <w15:docId w15:val="{60931613-CD08-42CF-9134-96327839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5784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578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1578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57848"/>
    <w:rPr>
      <w:rFonts w:ascii="宋体" w:eastAsia="宋体" w:hAnsi="宋体" w:cs="宋体"/>
      <w:b/>
      <w:bCs/>
      <w:kern w:val="0"/>
      <w:sz w:val="27"/>
      <w:szCs w:val="27"/>
    </w:rPr>
  </w:style>
  <w:style w:type="paragraph" w:customStyle="1" w:styleId="textstyle1">
    <w:name w:val="textstyle1"/>
    <w:basedOn w:val="a"/>
    <w:rsid w:val="00157848"/>
    <w:pPr>
      <w:widowControl/>
      <w:spacing w:before="100" w:beforeAutospacing="1" w:after="100" w:afterAutospacing="1"/>
      <w:jc w:val="left"/>
    </w:pPr>
    <w:rPr>
      <w:rFonts w:ascii="宋体" w:eastAsia="宋体" w:hAnsi="宋体" w:cs="宋体"/>
      <w:kern w:val="0"/>
      <w:sz w:val="24"/>
      <w:szCs w:val="24"/>
    </w:rPr>
  </w:style>
  <w:style w:type="paragraph" w:customStyle="1" w:styleId="imgonlystyle">
    <w:name w:val="imgonlystyle"/>
    <w:basedOn w:val="a"/>
    <w:rsid w:val="0015784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57848"/>
    <w:rPr>
      <w:b/>
      <w:bCs/>
      <w:kern w:val="44"/>
      <w:sz w:val="44"/>
      <w:szCs w:val="44"/>
    </w:rPr>
  </w:style>
  <w:style w:type="paragraph" w:styleId="z-">
    <w:name w:val="HTML Top of Form"/>
    <w:basedOn w:val="a"/>
    <w:next w:val="a"/>
    <w:link w:val="z-0"/>
    <w:hidden/>
    <w:uiPriority w:val="99"/>
    <w:semiHidden/>
    <w:unhideWhenUsed/>
    <w:rsid w:val="00157848"/>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157848"/>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157848"/>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157848"/>
    <w:rPr>
      <w:rFonts w:ascii="Arial" w:eastAsia="宋体" w:hAnsi="Arial" w:cs="Arial"/>
      <w:vanish/>
      <w:kern w:val="0"/>
      <w:sz w:val="16"/>
      <w:szCs w:val="16"/>
    </w:rPr>
  </w:style>
  <w:style w:type="character" w:styleId="a3">
    <w:name w:val="Hyperlink"/>
    <w:basedOn w:val="a0"/>
    <w:uiPriority w:val="99"/>
    <w:semiHidden/>
    <w:unhideWhenUsed/>
    <w:rsid w:val="00157848"/>
    <w:rPr>
      <w:color w:val="0000FF"/>
      <w:u w:val="single"/>
    </w:rPr>
  </w:style>
  <w:style w:type="character" w:customStyle="1" w:styleId="20">
    <w:name w:val="标题 2 字符"/>
    <w:basedOn w:val="a0"/>
    <w:link w:val="2"/>
    <w:uiPriority w:val="9"/>
    <w:semiHidden/>
    <w:rsid w:val="00157848"/>
    <w:rPr>
      <w:rFonts w:asciiTheme="majorHAnsi" w:eastAsiaTheme="majorEastAsia" w:hAnsiTheme="majorHAnsi" w:cstheme="majorBidi"/>
      <w:b/>
      <w:bCs/>
      <w:sz w:val="32"/>
      <w:szCs w:val="32"/>
    </w:rPr>
  </w:style>
  <w:style w:type="paragraph" w:styleId="a4">
    <w:name w:val="Normal (Web)"/>
    <w:basedOn w:val="a"/>
    <w:uiPriority w:val="99"/>
    <w:semiHidden/>
    <w:unhideWhenUsed/>
    <w:rsid w:val="001578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459">
      <w:bodyDiv w:val="1"/>
      <w:marLeft w:val="0"/>
      <w:marRight w:val="0"/>
      <w:marTop w:val="0"/>
      <w:marBottom w:val="0"/>
      <w:divBdr>
        <w:top w:val="none" w:sz="0" w:space="0" w:color="auto"/>
        <w:left w:val="none" w:sz="0" w:space="0" w:color="auto"/>
        <w:bottom w:val="none" w:sz="0" w:space="0" w:color="auto"/>
        <w:right w:val="none" w:sz="0" w:space="0" w:color="auto"/>
      </w:divBdr>
      <w:divsChild>
        <w:div w:id="1447045239">
          <w:marLeft w:val="0"/>
          <w:marRight w:val="0"/>
          <w:marTop w:val="0"/>
          <w:marBottom w:val="0"/>
          <w:divBdr>
            <w:top w:val="none" w:sz="0" w:space="0" w:color="auto"/>
            <w:left w:val="none" w:sz="0" w:space="0" w:color="auto"/>
            <w:bottom w:val="none" w:sz="0" w:space="0" w:color="auto"/>
            <w:right w:val="none" w:sz="0" w:space="0" w:color="auto"/>
          </w:divBdr>
        </w:div>
        <w:div w:id="2021081494">
          <w:marLeft w:val="210"/>
          <w:marRight w:val="0"/>
          <w:marTop w:val="0"/>
          <w:marBottom w:val="0"/>
          <w:divBdr>
            <w:top w:val="none" w:sz="0" w:space="0" w:color="auto"/>
            <w:left w:val="none" w:sz="0" w:space="0" w:color="auto"/>
            <w:bottom w:val="none" w:sz="0" w:space="0" w:color="auto"/>
            <w:right w:val="none" w:sz="0" w:space="0" w:color="auto"/>
          </w:divBdr>
        </w:div>
        <w:div w:id="711461612">
          <w:marLeft w:val="300"/>
          <w:marRight w:val="0"/>
          <w:marTop w:val="0"/>
          <w:marBottom w:val="0"/>
          <w:divBdr>
            <w:top w:val="none" w:sz="0" w:space="0" w:color="auto"/>
            <w:left w:val="none" w:sz="0" w:space="0" w:color="auto"/>
            <w:bottom w:val="none" w:sz="0" w:space="0" w:color="auto"/>
            <w:right w:val="none" w:sz="0" w:space="0" w:color="auto"/>
          </w:divBdr>
        </w:div>
        <w:div w:id="2131706234">
          <w:marLeft w:val="300"/>
          <w:marRight w:val="0"/>
          <w:marTop w:val="0"/>
          <w:marBottom w:val="0"/>
          <w:divBdr>
            <w:top w:val="none" w:sz="0" w:space="0" w:color="auto"/>
            <w:left w:val="none" w:sz="0" w:space="0" w:color="auto"/>
            <w:bottom w:val="none" w:sz="0" w:space="0" w:color="auto"/>
            <w:right w:val="none" w:sz="0" w:space="0" w:color="auto"/>
          </w:divBdr>
        </w:div>
        <w:div w:id="283967789">
          <w:marLeft w:val="0"/>
          <w:marRight w:val="0"/>
          <w:marTop w:val="0"/>
          <w:marBottom w:val="0"/>
          <w:divBdr>
            <w:top w:val="none" w:sz="0" w:space="0" w:color="auto"/>
            <w:left w:val="none" w:sz="0" w:space="0" w:color="auto"/>
            <w:bottom w:val="none" w:sz="0" w:space="0" w:color="auto"/>
            <w:right w:val="none" w:sz="0" w:space="0" w:color="auto"/>
          </w:divBdr>
        </w:div>
        <w:div w:id="897744875">
          <w:marLeft w:val="210"/>
          <w:marRight w:val="0"/>
          <w:marTop w:val="0"/>
          <w:marBottom w:val="0"/>
          <w:divBdr>
            <w:top w:val="none" w:sz="0" w:space="0" w:color="auto"/>
            <w:left w:val="none" w:sz="0" w:space="0" w:color="auto"/>
            <w:bottom w:val="none" w:sz="0" w:space="0" w:color="auto"/>
            <w:right w:val="none" w:sz="0" w:space="0" w:color="auto"/>
          </w:divBdr>
        </w:div>
      </w:divsChild>
    </w:div>
    <w:div w:id="71204242">
      <w:bodyDiv w:val="1"/>
      <w:marLeft w:val="0"/>
      <w:marRight w:val="0"/>
      <w:marTop w:val="0"/>
      <w:marBottom w:val="0"/>
      <w:divBdr>
        <w:top w:val="none" w:sz="0" w:space="0" w:color="auto"/>
        <w:left w:val="none" w:sz="0" w:space="0" w:color="auto"/>
        <w:bottom w:val="none" w:sz="0" w:space="0" w:color="auto"/>
        <w:right w:val="none" w:sz="0" w:space="0" w:color="auto"/>
      </w:divBdr>
      <w:divsChild>
        <w:div w:id="2131439595">
          <w:marLeft w:val="0"/>
          <w:marRight w:val="0"/>
          <w:marTop w:val="0"/>
          <w:marBottom w:val="0"/>
          <w:divBdr>
            <w:top w:val="none" w:sz="0" w:space="0" w:color="auto"/>
            <w:left w:val="none" w:sz="0" w:space="0" w:color="auto"/>
            <w:bottom w:val="none" w:sz="0" w:space="0" w:color="auto"/>
            <w:right w:val="none" w:sz="0" w:space="0" w:color="auto"/>
          </w:divBdr>
        </w:div>
        <w:div w:id="1923831170">
          <w:marLeft w:val="210"/>
          <w:marRight w:val="0"/>
          <w:marTop w:val="0"/>
          <w:marBottom w:val="0"/>
          <w:divBdr>
            <w:top w:val="none" w:sz="0" w:space="0" w:color="auto"/>
            <w:left w:val="none" w:sz="0" w:space="0" w:color="auto"/>
            <w:bottom w:val="none" w:sz="0" w:space="0" w:color="auto"/>
            <w:right w:val="none" w:sz="0" w:space="0" w:color="auto"/>
          </w:divBdr>
        </w:div>
      </w:divsChild>
    </w:div>
    <w:div w:id="1531380544">
      <w:bodyDiv w:val="1"/>
      <w:marLeft w:val="0"/>
      <w:marRight w:val="0"/>
      <w:marTop w:val="0"/>
      <w:marBottom w:val="0"/>
      <w:divBdr>
        <w:top w:val="none" w:sz="0" w:space="0" w:color="auto"/>
        <w:left w:val="none" w:sz="0" w:space="0" w:color="auto"/>
        <w:bottom w:val="none" w:sz="0" w:space="0" w:color="auto"/>
        <w:right w:val="none" w:sz="0" w:space="0" w:color="auto"/>
      </w:divBdr>
      <w:divsChild>
        <w:div w:id="928779784">
          <w:marLeft w:val="0"/>
          <w:marRight w:val="0"/>
          <w:marTop w:val="0"/>
          <w:marBottom w:val="210"/>
          <w:divBdr>
            <w:top w:val="single" w:sz="6" w:space="5" w:color="CCCCCC"/>
            <w:left w:val="single" w:sz="6" w:space="14" w:color="CCCCCC"/>
            <w:bottom w:val="single" w:sz="6" w:space="5" w:color="CCCCCC"/>
            <w:right w:val="single" w:sz="6" w:space="0" w:color="CCCCCC"/>
          </w:divBdr>
        </w:div>
        <w:div w:id="1300381276">
          <w:marLeft w:val="0"/>
          <w:marRight w:val="0"/>
          <w:marTop w:val="0"/>
          <w:marBottom w:val="300"/>
          <w:divBdr>
            <w:top w:val="none" w:sz="0" w:space="0" w:color="auto"/>
            <w:left w:val="none" w:sz="0" w:space="0" w:color="auto"/>
            <w:bottom w:val="none" w:sz="0" w:space="0" w:color="auto"/>
            <w:right w:val="none" w:sz="0" w:space="0" w:color="auto"/>
          </w:divBdr>
        </w:div>
        <w:div w:id="1817720278">
          <w:marLeft w:val="0"/>
          <w:marRight w:val="0"/>
          <w:marTop w:val="0"/>
          <w:marBottom w:val="0"/>
          <w:divBdr>
            <w:top w:val="none" w:sz="0" w:space="0" w:color="auto"/>
            <w:left w:val="none" w:sz="0" w:space="0" w:color="auto"/>
            <w:bottom w:val="none" w:sz="0" w:space="0" w:color="auto"/>
            <w:right w:val="none" w:sz="0" w:space="0" w:color="auto"/>
          </w:divBdr>
          <w:divsChild>
            <w:div w:id="1528325286">
              <w:marLeft w:val="0"/>
              <w:marRight w:val="0"/>
              <w:marTop w:val="0"/>
              <w:marBottom w:val="0"/>
              <w:divBdr>
                <w:top w:val="none" w:sz="0" w:space="0" w:color="auto"/>
                <w:left w:val="none" w:sz="0" w:space="0" w:color="auto"/>
                <w:bottom w:val="none" w:sz="0" w:space="0" w:color="auto"/>
                <w:right w:val="none" w:sz="0" w:space="0" w:color="auto"/>
              </w:divBdr>
            </w:div>
            <w:div w:id="130380490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869643298">
      <w:bodyDiv w:val="1"/>
      <w:marLeft w:val="0"/>
      <w:marRight w:val="0"/>
      <w:marTop w:val="0"/>
      <w:marBottom w:val="0"/>
      <w:divBdr>
        <w:top w:val="none" w:sz="0" w:space="0" w:color="auto"/>
        <w:left w:val="none" w:sz="0" w:space="0" w:color="auto"/>
        <w:bottom w:val="none" w:sz="0" w:space="0" w:color="auto"/>
        <w:right w:val="none" w:sz="0" w:space="0" w:color="auto"/>
      </w:divBdr>
      <w:divsChild>
        <w:div w:id="240482279">
          <w:marLeft w:val="0"/>
          <w:marRight w:val="0"/>
          <w:marTop w:val="0"/>
          <w:marBottom w:val="0"/>
          <w:divBdr>
            <w:top w:val="none" w:sz="0" w:space="0" w:color="auto"/>
            <w:left w:val="none" w:sz="0" w:space="0" w:color="auto"/>
            <w:bottom w:val="none" w:sz="0" w:space="0" w:color="auto"/>
            <w:right w:val="none" w:sz="0" w:space="0" w:color="auto"/>
          </w:divBdr>
        </w:div>
        <w:div w:id="1634827432">
          <w:marLeft w:val="0"/>
          <w:marRight w:val="0"/>
          <w:marTop w:val="0"/>
          <w:marBottom w:val="0"/>
          <w:divBdr>
            <w:top w:val="none" w:sz="0" w:space="0" w:color="auto"/>
            <w:left w:val="none" w:sz="0" w:space="0" w:color="auto"/>
            <w:bottom w:val="none" w:sz="0" w:space="0" w:color="auto"/>
            <w:right w:val="none" w:sz="0" w:space="0" w:color="auto"/>
          </w:divBdr>
          <w:divsChild>
            <w:div w:id="7557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hyperlink" Target="https://www.hitachi-hightech.com/us/product_detail/?pn=ana-sta7000" TargetMode="External"/><Relationship Id="rId15" Type="http://schemas.openxmlformats.org/officeDocument/2006/relationships/image" Target="media/image8.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itachi-hightech.com/us/product_detail/?pn=ana-sta7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卢奕名</dc:creator>
  <cp:keywords/>
  <dc:description/>
  <cp:lastModifiedBy>卢奕名</cp:lastModifiedBy>
  <cp:revision>2</cp:revision>
  <dcterms:created xsi:type="dcterms:W3CDTF">2018-04-04T08:35:00Z</dcterms:created>
  <dcterms:modified xsi:type="dcterms:W3CDTF">2018-04-04T09:06:00Z</dcterms:modified>
</cp:coreProperties>
</file>